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20" w:firstLine="720"/>
        <w:rPr>
          <w:b w:val="1"/>
          <w:sz w:val="24"/>
          <w:szCs w:val="24"/>
        </w:rPr>
      </w:pPr>
      <w:r w:rsidDel="00000000" w:rsidR="00000000" w:rsidRPr="00000000">
        <w:rPr>
          <w:b w:val="1"/>
          <w:sz w:val="24"/>
          <w:szCs w:val="24"/>
          <w:rtl w:val="0"/>
        </w:rPr>
        <w:t xml:space="preserve">Burnsville Hockey Club </w:t>
      </w:r>
      <w:r w:rsidDel="00000000" w:rsidR="00000000" w:rsidRPr="00000000">
        <w:drawing>
          <wp:anchor allowOverlap="1" behindDoc="0" distB="0" distT="0" distL="114300" distR="114300" hidden="0" layoutInCell="1" locked="0" relativeHeight="0" simplePos="0">
            <wp:simplePos x="0" y="0"/>
            <wp:positionH relativeFrom="column">
              <wp:posOffset>-180339</wp:posOffset>
            </wp:positionH>
            <wp:positionV relativeFrom="paragraph">
              <wp:posOffset>-283728</wp:posOffset>
            </wp:positionV>
            <wp:extent cx="976745" cy="1006277"/>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976745" cy="1006277"/>
                    </a:xfrm>
                    <a:prstGeom prst="rect"/>
                    <a:ln/>
                  </pic:spPr>
                </pic:pic>
              </a:graphicData>
            </a:graphic>
          </wp:anchor>
        </w:drawing>
      </w:r>
    </w:p>
    <w:p w:rsidR="00000000" w:rsidDel="00000000" w:rsidP="00000000" w:rsidRDefault="00000000" w:rsidRPr="00000000" w14:paraId="00000002">
      <w:pPr>
        <w:ind w:left="720" w:firstLine="720"/>
        <w:rPr>
          <w:b w:val="1"/>
          <w:sz w:val="24"/>
          <w:szCs w:val="24"/>
        </w:rPr>
      </w:pPr>
      <w:r w:rsidDel="00000000" w:rsidR="00000000" w:rsidRPr="00000000">
        <w:rPr>
          <w:b w:val="1"/>
          <w:sz w:val="24"/>
          <w:szCs w:val="24"/>
          <w:rtl w:val="0"/>
        </w:rPr>
        <w:t xml:space="preserve">Gambling Report (June 2020)</w:t>
      </w:r>
    </w:p>
    <w:p w:rsidR="00000000" w:rsidDel="00000000" w:rsidP="00000000" w:rsidRDefault="00000000" w:rsidRPr="00000000" w14:paraId="00000003">
      <w:pPr>
        <w:rPr/>
      </w:pPr>
      <w:r w:rsidDel="00000000" w:rsidR="00000000" w:rsidRPr="00000000">
        <w:rPr>
          <w:rtl w:val="0"/>
        </w:rPr>
        <w:t xml:space="preserve">Meeting Date:</w:t>
        <w:tab/>
        <w:t xml:space="preserve">June 16, 2020</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04">
      <w:pPr>
        <w:rPr>
          <w:i w:val="1"/>
        </w:rPr>
      </w:pPr>
      <w:r w:rsidDel="00000000" w:rsidR="00000000" w:rsidRPr="00000000">
        <w:rPr>
          <w:i w:val="1"/>
          <w:rtl w:val="0"/>
        </w:rPr>
        <w:t xml:space="preserve">Transparency Statement:</w:t>
      </w:r>
    </w:p>
    <w:p w:rsidR="00000000" w:rsidDel="00000000" w:rsidP="00000000" w:rsidRDefault="00000000" w:rsidRPr="00000000" w14:paraId="00000005">
      <w:pPr>
        <w:rPr/>
      </w:pPr>
      <w:r w:rsidDel="00000000" w:rsidR="00000000" w:rsidRPr="00000000">
        <w:rPr>
          <w:rtl w:val="0"/>
        </w:rPr>
        <w:t xml:space="preserve">Gambling operations documents are maintained by the Gambling Manager and are open to the membership for review.  Viewing of gambling documents can be scheduled through the either Club executive committee members or Kevin Lienau, Gambling Director.  Monthly gambling documents as required by Minnesota Statute and Rule are provided to membership for voting/approval via the “Board Voting” section on the website.  Voting membership is responsible for approving Monthly gambling documents.</w:t>
      </w:r>
    </w:p>
    <w:p w:rsidR="00000000" w:rsidDel="00000000" w:rsidP="00000000" w:rsidRDefault="00000000" w:rsidRPr="00000000" w14:paraId="00000006">
      <w:pPr>
        <w:rPr>
          <w:i w:val="1"/>
        </w:rPr>
      </w:pPr>
      <w:r w:rsidDel="00000000" w:rsidR="00000000" w:rsidRPr="00000000">
        <w:rPr>
          <w:i w:val="1"/>
          <w:rtl w:val="0"/>
        </w:rPr>
        <w:t xml:space="preserve">Transfer to Club from Gambling:</w:t>
      </w:r>
    </w:p>
    <w:p w:rsidR="00000000" w:rsidDel="00000000" w:rsidP="00000000" w:rsidRDefault="00000000" w:rsidRPr="00000000" w14:paraId="00000007">
      <w:pPr>
        <w:rPr/>
      </w:pPr>
      <w:r w:rsidDel="00000000" w:rsidR="00000000" w:rsidRPr="00000000">
        <w:rPr>
          <w:rtl w:val="0"/>
        </w:rPr>
        <w:t xml:space="preserve">Gambling operations are able to transfer </w:t>
      </w:r>
      <w:r w:rsidDel="00000000" w:rsidR="00000000" w:rsidRPr="00000000">
        <w:rPr>
          <w:u w:val="single"/>
          <w:rtl w:val="0"/>
        </w:rPr>
        <w:t xml:space="preserve">$0.00</w:t>
      </w:r>
      <w:r w:rsidDel="00000000" w:rsidR="00000000" w:rsidRPr="00000000">
        <w:rPr>
          <w:rtl w:val="0"/>
        </w:rPr>
        <w:t xml:space="preserve"> to the club in June 2020.  This is compliant with the pre-approved Lawful Expenditure Motion made during the May 2020 meeting.  </w:t>
      </w:r>
      <w:r w:rsidDel="00000000" w:rsidR="00000000" w:rsidRPr="00000000">
        <w:rPr>
          <w:b w:val="1"/>
          <w:i w:val="1"/>
          <w:rtl w:val="0"/>
        </w:rPr>
        <w:t xml:space="preserve">Due to the COVID19 shutdown of restaurants, gambling operations are maintaining a fund balance to cover fixed fees and expenses related to the Gambling operation (e.g. Mini-Storage, Machine Rental, Software Fees).</w:t>
      </w:r>
      <w:r w:rsidDel="00000000" w:rsidR="00000000" w:rsidRPr="00000000">
        <w:rPr>
          <w:rtl w:val="0"/>
        </w:rPr>
        <w:t xml:space="preserve"> </w:t>
      </w:r>
    </w:p>
    <w:p w:rsidR="00000000" w:rsidDel="00000000" w:rsidP="00000000" w:rsidRDefault="00000000" w:rsidRPr="00000000" w14:paraId="00000008">
      <w:pPr>
        <w:rPr>
          <w:i w:val="1"/>
        </w:rPr>
      </w:pPr>
      <w:r w:rsidDel="00000000" w:rsidR="00000000" w:rsidRPr="00000000">
        <w:rPr>
          <w:i w:val="1"/>
          <w:rtl w:val="0"/>
        </w:rPr>
        <w:t xml:space="preserve">Expenditure Authorization:</w:t>
      </w:r>
    </w:p>
    <w:p w:rsidR="00000000" w:rsidDel="00000000" w:rsidP="00000000" w:rsidRDefault="00000000" w:rsidRPr="00000000" w14:paraId="00000009">
      <w:pPr>
        <w:rPr/>
      </w:pPr>
      <w:r w:rsidDel="00000000" w:rsidR="00000000" w:rsidRPr="00000000">
        <w:rPr>
          <w:rtl w:val="0"/>
        </w:rPr>
        <w:t xml:space="preserve">Club membership must give prior authorization for all gambling expenditures.  Due to meeting schedule, it is not practical to authorize current month expenditures expeditiously.  As such, membership is allowed to authorize an estimated expenditure up to a maximum amount.  Actual expenditures must fall under this estimate and are to be reconciled via the following month’s gambling documents.</w:t>
      </w:r>
    </w:p>
    <w:p w:rsidR="00000000" w:rsidDel="00000000" w:rsidP="00000000" w:rsidRDefault="00000000" w:rsidRPr="00000000" w14:paraId="0000000A">
      <w:pPr>
        <w:rPr>
          <w:i w:val="1"/>
        </w:rPr>
      </w:pPr>
      <w:r w:rsidDel="00000000" w:rsidR="00000000" w:rsidRPr="00000000">
        <w:rPr>
          <w:i w:val="1"/>
          <w:rtl w:val="0"/>
        </w:rPr>
        <w:t xml:space="preserve">Allowable Expenses Motion:</w:t>
      </w:r>
    </w:p>
    <w:p w:rsidR="00000000" w:rsidDel="00000000" w:rsidP="00000000" w:rsidRDefault="00000000" w:rsidRPr="00000000" w14:paraId="0000000B">
      <w:pPr>
        <w:rPr/>
      </w:pPr>
      <w:r w:rsidDel="00000000" w:rsidR="00000000" w:rsidRPr="00000000">
        <w:rPr>
          <w:rtl w:val="0"/>
        </w:rPr>
        <w:t xml:space="preserve">“I would like to entertain a motion to pre-approve up to, but not in excess of, </w:t>
      </w:r>
      <w:r w:rsidDel="00000000" w:rsidR="00000000" w:rsidRPr="00000000">
        <w:rPr>
          <w:u w:val="single"/>
          <w:rtl w:val="0"/>
        </w:rPr>
        <w:t xml:space="preserve">$ 20,000.00</w:t>
      </w:r>
      <w:r w:rsidDel="00000000" w:rsidR="00000000" w:rsidRPr="00000000">
        <w:rPr>
          <w:rtl w:val="0"/>
        </w:rPr>
        <w:t xml:space="preserve"> for estimated Gambling Enterprise Operational Expenses for the month of </w:t>
      </w:r>
      <w:r w:rsidDel="00000000" w:rsidR="00000000" w:rsidRPr="00000000">
        <w:rPr>
          <w:u w:val="single"/>
          <w:rtl w:val="0"/>
        </w:rPr>
        <w:t xml:space="preserve">July 2020.</w:t>
      </w:r>
      <w:r w:rsidDel="00000000" w:rsidR="00000000" w:rsidRPr="00000000">
        <w:rPr>
          <w:rtl w:val="0"/>
        </w:rPr>
        <w:t xml:space="preserve">  This pre-approval authorizes Gambling Enterprise related operational expenses as detailed on the LG1004 Gambling form under Allowable Expenses, as well as, any and all other expenses not listed that are deemed critical for the Gambling Enterprise operation."</w:t>
      </w:r>
    </w:p>
    <w:p w:rsidR="00000000" w:rsidDel="00000000" w:rsidP="00000000" w:rsidRDefault="00000000" w:rsidRPr="00000000" w14:paraId="0000000C">
      <w:pPr>
        <w:rPr/>
      </w:pPr>
      <w:r w:rsidDel="00000000" w:rsidR="00000000" w:rsidRPr="00000000">
        <w:rPr>
          <w:rtl w:val="0"/>
        </w:rPr>
        <w:t xml:space="preserve">Motion By: _____________________________</w:t>
      </w:r>
    </w:p>
    <w:p w:rsidR="00000000" w:rsidDel="00000000" w:rsidP="00000000" w:rsidRDefault="00000000" w:rsidRPr="00000000" w14:paraId="0000000D">
      <w:pPr>
        <w:rPr/>
      </w:pPr>
      <w:r w:rsidDel="00000000" w:rsidR="00000000" w:rsidRPr="00000000">
        <w:rPr>
          <w:rtl w:val="0"/>
        </w:rPr>
        <w:t xml:space="preserve">Seconded By: ___________________________</w:t>
      </w:r>
    </w:p>
    <w:p w:rsidR="00000000" w:rsidDel="00000000" w:rsidP="00000000" w:rsidRDefault="00000000" w:rsidRPr="00000000" w14:paraId="0000000E">
      <w:pPr>
        <w:rPr/>
      </w:pPr>
      <w:r w:rsidDel="00000000" w:rsidR="00000000" w:rsidRPr="00000000">
        <w:rPr>
          <w:rtl w:val="0"/>
        </w:rPr>
        <w:t xml:space="preserve">Motion Passed / Failed  (Circle One)</w:t>
      </w:r>
    </w:p>
    <w:p w:rsidR="00000000" w:rsidDel="00000000" w:rsidP="00000000" w:rsidRDefault="00000000" w:rsidRPr="00000000" w14:paraId="0000000F">
      <w:pPr>
        <w:rPr>
          <w:i w:val="1"/>
        </w:rPr>
      </w:pPr>
      <w:r w:rsidDel="00000000" w:rsidR="00000000" w:rsidRPr="00000000">
        <w:rPr>
          <w:i w:val="1"/>
          <w:rtl w:val="0"/>
        </w:rPr>
        <w:t xml:space="preserve">Lawful Purpose Expenditure Motion:</w:t>
      </w:r>
    </w:p>
    <w:p w:rsidR="00000000" w:rsidDel="00000000" w:rsidP="00000000" w:rsidRDefault="00000000" w:rsidRPr="00000000" w14:paraId="00000010">
      <w:pPr>
        <w:rPr/>
      </w:pPr>
      <w:bookmarkStart w:colFirst="0" w:colLast="0" w:name="_gjdgxs" w:id="0"/>
      <w:bookmarkEnd w:id="0"/>
      <w:r w:rsidDel="00000000" w:rsidR="00000000" w:rsidRPr="00000000">
        <w:rPr>
          <w:rtl w:val="0"/>
        </w:rPr>
        <w:t xml:space="preserve">“I would like to entertain a motion for pre-approval of estimated Lawful Purpose Transfers of up to, but not in excess of, </w:t>
      </w:r>
      <w:r w:rsidDel="00000000" w:rsidR="00000000" w:rsidRPr="00000000">
        <w:rPr>
          <w:u w:val="single"/>
          <w:rtl w:val="0"/>
        </w:rPr>
        <w:t xml:space="preserve">$ 20,000.00</w:t>
      </w:r>
      <w:r w:rsidDel="00000000" w:rsidR="00000000" w:rsidRPr="00000000">
        <w:rPr>
          <w:rtl w:val="0"/>
        </w:rPr>
        <w:t xml:space="preserve"> for the month of </w:t>
      </w:r>
      <w:r w:rsidDel="00000000" w:rsidR="00000000" w:rsidRPr="00000000">
        <w:rPr>
          <w:u w:val="single"/>
          <w:rtl w:val="0"/>
        </w:rPr>
        <w:t xml:space="preserve">July 2020</w:t>
      </w:r>
      <w:r w:rsidDel="00000000" w:rsidR="00000000" w:rsidRPr="00000000">
        <w:rPr>
          <w:rtl w:val="0"/>
        </w:rPr>
        <w:t xml:space="preserve"> as detailed on the LG1004 Gambling form under Lawful Purpose Expenditures.”</w:t>
      </w:r>
    </w:p>
    <w:p w:rsidR="00000000" w:rsidDel="00000000" w:rsidP="00000000" w:rsidRDefault="00000000" w:rsidRPr="00000000" w14:paraId="00000011">
      <w:pPr>
        <w:rPr/>
      </w:pPr>
      <w:r w:rsidDel="00000000" w:rsidR="00000000" w:rsidRPr="00000000">
        <w:rPr>
          <w:rtl w:val="0"/>
        </w:rPr>
        <w:t xml:space="preserve">Motion By: _____________________________</w:t>
      </w:r>
    </w:p>
    <w:p w:rsidR="00000000" w:rsidDel="00000000" w:rsidP="00000000" w:rsidRDefault="00000000" w:rsidRPr="00000000" w14:paraId="00000012">
      <w:pPr>
        <w:rPr/>
      </w:pPr>
      <w:r w:rsidDel="00000000" w:rsidR="00000000" w:rsidRPr="00000000">
        <w:rPr>
          <w:rtl w:val="0"/>
        </w:rPr>
        <w:t xml:space="preserve">Seconded By: ___________________________</w:t>
      </w:r>
    </w:p>
    <w:p w:rsidR="00000000" w:rsidDel="00000000" w:rsidP="00000000" w:rsidRDefault="00000000" w:rsidRPr="00000000" w14:paraId="00000013">
      <w:pPr>
        <w:rPr/>
      </w:pPr>
      <w:r w:rsidDel="00000000" w:rsidR="00000000" w:rsidRPr="00000000">
        <w:rPr>
          <w:rtl w:val="0"/>
        </w:rPr>
        <w:t xml:space="preserve">Motion Passed / Failed  (Circle One) </w:t>
      </w:r>
    </w:p>
    <w:sectPr>
      <w:pgSz w:h="15840" w:w="12240" w:orient="portrait"/>
      <w:pgMar w:bottom="1440" w:top="144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