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June 20, 2022, 7:00PM, Beckett’s</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Leah Pekarik, Nick Snyder, Kirk Maxey, Brandy Best, Adam Maidment, Jamie, Webb, Amanda Fulford*, Tony Burt*</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Tony Kramp</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TL: 1. Review of previous minutes and business. Leah Pekarik motion to approve, Adam Maidment 2nd. Unanimous approval 2. Select date and committee for “Equipment Exchange”. AM reaching out to JB at arena for approval to host the event, to be followed by “Try Hockey Free”.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TB*: 1. Touched base with Dialed In Goaltending. Confirming dates for three BGYHA sponsored season camps.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TK: 1. Absent - Noted Tractor Pull fundraiser opportunities full.</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LP: 1. Habitat for Humanity sponsorship approval. Board approves $500 sponsorship of the street hockey fundraiser event.</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AM: 1. Finalizing ice schedule with Jamie/Ethan.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AF*: 1. Discussion regarding feedback from parents at PW level.</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Contacts from 8U players. Consider early Try-Hockey Free (club sponsored) for early registrations. 2. Mike Howick requested ice prior to the season for a ref meeting and training. 3. Sending email to returning refs to confirm commitments.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BB: 1. Kroger quarterly award for $245, Amazon Smile $40 received. 2. Annual Worker’s Comp Insurance paid. 3. Bank balance $117k. 4. Budgets being finalized. 5. Reimbursements finalized and contacted.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KM: 1. Considering updated jersey options for travel and house. Planning fitting for sometime in July. 2. Nick Powers reached out as Assistant Coach for Bantam Travel.</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NS: 1. Squirt All-Star confirmed Mark Mayo and Abby Stevens, with Abby heading the Squirt House. PW All-Star is tentavely Andy Grant, PW House not selected yet, no Bantam All-Star/House lead. 2. Conversation with the arena regarding cleaning up trophy case, 164, banner placement.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Position requests due via email to: Brandy Best by: July 1, 2022. 2. Add verbiage to registration to only require ONE fundraiser fee to families with multiple registered players to help reduce total fees per household. 3. Consider options to hire a paid intern for social media/marketing/PR presence. LP to reach out to contacts to gauge interest. Also consider use of BGSU available intern program. 4. Continue to develop and finalize annual club sponsorship opportunities and confirm any sponsors from previous season.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Meeting adjourned @ 9:29PM</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4">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