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2168C29B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March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1st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5509415C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A43DC7">
        <w:rPr>
          <w:rFonts w:ascii="Arial" w:eastAsia="Arial" w:hAnsi="Arial" w:cs="Arial"/>
          <w:b/>
          <w:bCs/>
          <w:i/>
          <w:iCs/>
          <w:sz w:val="22"/>
          <w:szCs w:val="20"/>
        </w:rPr>
        <w:t>River’s Edge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C5ED37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1CE28B3E" w14:textId="662F26EA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External Association Reputation/Relationship</w:t>
            </w:r>
          </w:p>
          <w:p w14:paraId="3A8ED5CB" w14:textId="1B52D984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 Behavior/DHSD</w:t>
            </w:r>
          </w:p>
          <w:p w14:paraId="0C0F2616" w14:textId="5BE7C165" w:rsidR="00A43DC7" w:rsidRP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partnership/coaching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952C999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April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5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2</cp:revision>
  <cp:lastPrinted>1900-01-01T06:00:00Z</cp:lastPrinted>
  <dcterms:created xsi:type="dcterms:W3CDTF">2021-02-23T00:49:00Z</dcterms:created>
  <dcterms:modified xsi:type="dcterms:W3CDTF">2021-02-23T00:49:00Z</dcterms:modified>
</cp:coreProperties>
</file>