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D95F8" w14:textId="77777777" w:rsidR="009139C8" w:rsidRDefault="009139C8" w:rsidP="009139C8">
      <w:pPr>
        <w:spacing w:after="200" w:line="240" w:lineRule="auto"/>
        <w:ind w:left="-540"/>
        <w:rPr>
          <w:rFonts w:ascii="Arial" w:eastAsia="MS Mincho" w:hAnsi="Arial" w:cs="Arial"/>
          <w:color w:val="000000"/>
          <w:sz w:val="32"/>
          <w:szCs w:val="32"/>
          <w:lang w:eastAsia="ja-JP"/>
        </w:rPr>
      </w:pPr>
      <w:bookmarkStart w:id="0" w:name="_GoBack"/>
      <w:bookmarkEnd w:id="0"/>
      <w:r>
        <w:rPr>
          <w:rFonts w:ascii="Arial" w:eastAsia="MS Mincho" w:hAnsi="Arial" w:cs="Arial"/>
          <w:color w:val="000000"/>
          <w:sz w:val="32"/>
          <w:szCs w:val="32"/>
          <w:lang w:eastAsia="ja-JP"/>
        </w:rPr>
        <w:t>Purpose of Policy</w:t>
      </w:r>
    </w:p>
    <w:p w14:paraId="39EF2010" w14:textId="76CD39C1" w:rsidR="009139C8" w:rsidRDefault="009139C8" w:rsidP="009139C8">
      <w:pPr>
        <w:spacing w:after="200" w:line="240" w:lineRule="auto"/>
        <w:ind w:left="-540"/>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This conflict of interest policy is designed to help directors &amp; officers of Canton Minor Hockey identify situations that present potential conflicts of interest and to provide Canton Minor Hockey with a procedure that, if observed, will allow a transaction to be treated as valid and binding even though a director, officer, or employee has or may have a conflict of interest with respect to the transaction. In the event there is an inconsistency between the requirements and procedures prescribed herein and those in federal or state law, the law shall control. All capitalized terms are defined in Part 2 of this policy.</w:t>
      </w:r>
    </w:p>
    <w:p w14:paraId="25ADDEE7" w14:textId="77777777" w:rsidR="009139C8" w:rsidRDefault="009139C8" w:rsidP="009139C8">
      <w:pPr>
        <w:pStyle w:val="ListParagraph"/>
        <w:numPr>
          <w:ilvl w:val="0"/>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Conflict of Interest Defined.  </w:t>
      </w:r>
    </w:p>
    <w:p w14:paraId="1A4D1CA3" w14:textId="77777777" w:rsidR="009139C8" w:rsidRDefault="009139C8" w:rsidP="009139C8">
      <w:pPr>
        <w:pStyle w:val="ListParagraph"/>
        <w:spacing w:after="200" w:line="240" w:lineRule="auto"/>
        <w:ind w:left="180"/>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For purposes of this policy, the following circumstances shall be deemed to create Conflicts of Interest: </w:t>
      </w:r>
    </w:p>
    <w:p w14:paraId="1B504F17" w14:textId="77777777"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Outside Interests. </w:t>
      </w:r>
    </w:p>
    <w:p w14:paraId="72F6EFD5" w14:textId="111B5FA7" w:rsidR="009139C8" w:rsidRDefault="009139C8" w:rsidP="009139C8">
      <w:pPr>
        <w:pStyle w:val="ListParagraph"/>
        <w:numPr>
          <w:ilvl w:val="2"/>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An Agreement or Transaction between Canton Minor Hockey and a Responsible Person or Family Member. </w:t>
      </w:r>
    </w:p>
    <w:p w14:paraId="065BAD5A" w14:textId="14C75458" w:rsidR="009139C8" w:rsidRDefault="009139C8" w:rsidP="009139C8">
      <w:pPr>
        <w:pStyle w:val="ListParagraph"/>
        <w:numPr>
          <w:ilvl w:val="2"/>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An Agreement or Transaction between Canton Minor Hockey and an entity in which a Responsible Person or Family Member has a Material Financial Interest or of which such person is a director, officer, agent, partner, associate, trustee, personal representative, receiver, guardian, custodian, conservator, or other legal representative. </w:t>
      </w:r>
    </w:p>
    <w:p w14:paraId="061609A0" w14:textId="77777777"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Outside Activities. </w:t>
      </w:r>
    </w:p>
    <w:p w14:paraId="167BEDE2" w14:textId="6F9CDF04" w:rsidR="009139C8" w:rsidRDefault="009139C8" w:rsidP="009139C8">
      <w:pPr>
        <w:pStyle w:val="ListParagraph"/>
        <w:numPr>
          <w:ilvl w:val="2"/>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 Responsible Person competing with Canton Minor Hockey in the rendering of services or in any other Agreement or Transaction with a third party. </w:t>
      </w:r>
    </w:p>
    <w:p w14:paraId="2B61B7C4" w14:textId="460DFCA0" w:rsidR="009139C8" w:rsidRDefault="009139C8" w:rsidP="009139C8">
      <w:pPr>
        <w:pStyle w:val="ListParagraph"/>
        <w:numPr>
          <w:ilvl w:val="2"/>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 Responsible Person’s having a Material Financial Interest in; or serving as a director, officer, employee, agent, partner, associate, trustee, personal representative, receiver, guardian, custodian, conservator, or other legal representative of, or consultant to; an entity or individual that competes with Canton Minor Hockey in the provision of services or in any other Agreement or Transaction with a third party. </w:t>
      </w:r>
    </w:p>
    <w:p w14:paraId="5ED3AAAD" w14:textId="77777777"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Gifts, Gratuities and Entertainment. A Responsible Person accepting gifts, entertainment, or other favors from any individual or entity that: </w:t>
      </w:r>
    </w:p>
    <w:p w14:paraId="79478BD5" w14:textId="04DF6EC5" w:rsidR="009139C8" w:rsidRDefault="009139C8" w:rsidP="009139C8">
      <w:pPr>
        <w:pStyle w:val="ListParagraph"/>
        <w:numPr>
          <w:ilvl w:val="2"/>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does or is seeking to do business with, or is a competitor of </w:t>
      </w:r>
      <w:r w:rsidR="001E660B">
        <w:rPr>
          <w:rFonts w:ascii="Times New Roman" w:eastAsia="MS Mincho" w:hAnsi="Times New Roman" w:cs="Times New Roman"/>
          <w:color w:val="000000"/>
          <w:sz w:val="19"/>
          <w:szCs w:val="19"/>
          <w:lang w:eastAsia="ja-JP"/>
        </w:rPr>
        <w:t>Canton Minor Hockey</w:t>
      </w:r>
      <w:r>
        <w:rPr>
          <w:rFonts w:ascii="Times New Roman" w:eastAsia="MS Mincho" w:hAnsi="Times New Roman" w:cs="Times New Roman"/>
          <w:color w:val="000000"/>
          <w:sz w:val="19"/>
          <w:szCs w:val="19"/>
          <w:lang w:eastAsia="ja-JP"/>
        </w:rPr>
        <w:t xml:space="preserve">; or </w:t>
      </w:r>
    </w:p>
    <w:p w14:paraId="48CC542D" w14:textId="6C8ACED2" w:rsidR="009139C8" w:rsidRDefault="009139C8" w:rsidP="009139C8">
      <w:pPr>
        <w:pStyle w:val="ListParagraph"/>
        <w:numPr>
          <w:ilvl w:val="2"/>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has received, is receiving, or is seeking to receive a loan or grant, or to secure other financial commitments from </w:t>
      </w:r>
      <w:r w:rsidR="00927661">
        <w:rPr>
          <w:rFonts w:ascii="Times New Roman" w:eastAsia="MS Mincho" w:hAnsi="Times New Roman" w:cs="Times New Roman"/>
          <w:color w:val="000000"/>
          <w:sz w:val="19"/>
          <w:szCs w:val="19"/>
          <w:lang w:eastAsia="ja-JP"/>
        </w:rPr>
        <w:t>Canton Minor Hockey</w:t>
      </w:r>
      <w:r>
        <w:rPr>
          <w:rFonts w:ascii="Times New Roman" w:eastAsia="MS Mincho" w:hAnsi="Times New Roman" w:cs="Times New Roman"/>
          <w:color w:val="000000"/>
          <w:sz w:val="19"/>
          <w:szCs w:val="19"/>
          <w:lang w:eastAsia="ja-JP"/>
        </w:rPr>
        <w:t xml:space="preserve">; </w:t>
      </w:r>
    </w:p>
    <w:p w14:paraId="61C62E78" w14:textId="77777777" w:rsidR="009139C8" w:rsidRDefault="009139C8" w:rsidP="009139C8">
      <w:pPr>
        <w:pStyle w:val="ListParagraph"/>
        <w:numPr>
          <w:ilvl w:val="2"/>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is a charitable organization;</w:t>
      </w:r>
    </w:p>
    <w:p w14:paraId="0AF18F8F" w14:textId="0F98C47C" w:rsidR="009139C8" w:rsidRDefault="009139C8" w:rsidP="009139C8">
      <w:pPr>
        <w:pStyle w:val="ListParagraph"/>
        <w:numPr>
          <w:ilvl w:val="2"/>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under circumstances where it might be inferred that such action was intended to influence or possibly would influence the Responsible Person in the performance of his or her duties. This does not preclude the acceptance of items of nominal or insignificant value or entertainment of nominal or insignificant value that are not related to any particular transaction or activity of </w:t>
      </w:r>
      <w:r w:rsidR="001E660B">
        <w:rPr>
          <w:rFonts w:ascii="Times New Roman" w:eastAsia="MS Mincho" w:hAnsi="Times New Roman" w:cs="Times New Roman"/>
          <w:color w:val="000000"/>
          <w:sz w:val="19"/>
          <w:szCs w:val="19"/>
          <w:lang w:eastAsia="ja-JP"/>
        </w:rPr>
        <w:t>Canton Minor Hockey</w:t>
      </w:r>
      <w:r>
        <w:rPr>
          <w:rFonts w:ascii="Times New Roman" w:eastAsia="MS Mincho" w:hAnsi="Times New Roman" w:cs="Times New Roman"/>
          <w:color w:val="000000"/>
          <w:sz w:val="19"/>
          <w:szCs w:val="19"/>
          <w:lang w:eastAsia="ja-JP"/>
        </w:rPr>
        <w:t xml:space="preserve">.  </w:t>
      </w:r>
    </w:p>
    <w:p w14:paraId="701D0BE1" w14:textId="77777777" w:rsidR="009139C8" w:rsidRDefault="009139C8" w:rsidP="009139C8">
      <w:pPr>
        <w:pStyle w:val="ListParagraph"/>
        <w:numPr>
          <w:ilvl w:val="0"/>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Definitions. </w:t>
      </w:r>
    </w:p>
    <w:p w14:paraId="255DBA04" w14:textId="77777777"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 “Conflict of Interest” is any circumstance described in Part 1 of this Policy. </w:t>
      </w:r>
    </w:p>
    <w:p w14:paraId="17B5E7EC" w14:textId="43B19398"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 “Responsible Person” is any person serving as an officer, employee, or member of the board of directors of </w:t>
      </w:r>
      <w:r w:rsidR="00A04092">
        <w:rPr>
          <w:rFonts w:ascii="Times New Roman" w:eastAsia="MS Mincho" w:hAnsi="Times New Roman" w:cs="Times New Roman"/>
          <w:color w:val="000000"/>
          <w:sz w:val="19"/>
          <w:szCs w:val="19"/>
          <w:lang w:eastAsia="ja-JP"/>
        </w:rPr>
        <w:t>Canton Minor Hockey</w:t>
      </w:r>
      <w:r>
        <w:rPr>
          <w:rFonts w:ascii="Times New Roman" w:eastAsia="MS Mincho" w:hAnsi="Times New Roman" w:cs="Times New Roman"/>
          <w:color w:val="000000"/>
          <w:sz w:val="19"/>
          <w:szCs w:val="19"/>
          <w:lang w:eastAsia="ja-JP"/>
        </w:rPr>
        <w:t xml:space="preserve">. </w:t>
      </w:r>
    </w:p>
    <w:p w14:paraId="388F129D" w14:textId="77777777"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 “Family Member” is a spouse, domestic partner, parent, child, or spouse of a child, brother, sister, or spouse of a brother or sister, of a Responsible Person. </w:t>
      </w:r>
    </w:p>
    <w:p w14:paraId="63C9EE9E" w14:textId="77777777"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 “Material Financial Interest” in an entity is a financial interest of any kind that, in view of all the circumstances, is substantial enough that it would, or reasonably could, affect a Responsible Person’s or Family Member’s judgment with respect to transactions to which the entity is a party. This includes all forms of compensation. (The board may wish to establish an amount that it would consider to be a “material financial interest.”) </w:t>
      </w:r>
    </w:p>
    <w:p w14:paraId="54D41E94" w14:textId="0AA92D06"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An “Agreement or Transaction” is any agreement or relationship involving the sale or purchase of goods, services, or rights of any kind, the providing or receipt of a loan or grant, or the establishment of any other type of pecuniary relationship by </w:t>
      </w:r>
      <w:r w:rsidR="00A04092">
        <w:rPr>
          <w:rFonts w:ascii="Times New Roman" w:eastAsia="MS Mincho" w:hAnsi="Times New Roman" w:cs="Times New Roman"/>
          <w:color w:val="000000"/>
          <w:sz w:val="19"/>
          <w:szCs w:val="19"/>
          <w:lang w:eastAsia="ja-JP"/>
        </w:rPr>
        <w:t>Canton Minor Hockey</w:t>
      </w:r>
      <w:r>
        <w:rPr>
          <w:rFonts w:ascii="Times New Roman" w:eastAsia="MS Mincho" w:hAnsi="Times New Roman" w:cs="Times New Roman"/>
          <w:color w:val="000000"/>
          <w:sz w:val="19"/>
          <w:szCs w:val="19"/>
          <w:lang w:eastAsia="ja-JP"/>
        </w:rPr>
        <w:t xml:space="preserve">. The making of a gift to Canton Minor Hockey is not an Agreement or Transaction within the meaning of this document. </w:t>
      </w:r>
    </w:p>
    <w:p w14:paraId="1730EE2A" w14:textId="77777777" w:rsidR="001E660B" w:rsidRPr="001E660B" w:rsidRDefault="001E660B" w:rsidP="001E660B">
      <w:pPr>
        <w:spacing w:after="200" w:line="240" w:lineRule="auto"/>
        <w:ind w:left="540"/>
        <w:rPr>
          <w:rFonts w:ascii="Times New Roman" w:eastAsia="MS Mincho" w:hAnsi="Times New Roman" w:cs="Times New Roman"/>
          <w:color w:val="000000"/>
          <w:sz w:val="19"/>
          <w:szCs w:val="19"/>
          <w:lang w:eastAsia="ja-JP"/>
        </w:rPr>
      </w:pPr>
    </w:p>
    <w:p w14:paraId="68A60548" w14:textId="77777777" w:rsidR="009139C8" w:rsidRDefault="009139C8" w:rsidP="009139C8">
      <w:pPr>
        <w:pStyle w:val="ListParagraph"/>
        <w:numPr>
          <w:ilvl w:val="0"/>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lastRenderedPageBreak/>
        <w:t xml:space="preserve">Procedures. </w:t>
      </w:r>
    </w:p>
    <w:p w14:paraId="44257C1D" w14:textId="77777777"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Before board or committee action on and Agreement or Transaction involving a Conflict of Interest, a director or committee member having a Conflict of Interest and who is in attendance at the meeting shall disclose all facts material to the Conflict of Interest. Such disclosure shall be reflected in the minutes of the meeting. </w:t>
      </w:r>
    </w:p>
    <w:p w14:paraId="6D174005" w14:textId="77777777"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 director or committee member who plans not to attend a meeting at which he or she has reason to believe that the board or committee will act on a matter in which the person has a Conflict of Interest shall disclose to the chair of the meeting all facts material to the Conflict of Interest. The chair shall report the disclosure at the meeting and the disclosure shall be reflected in the minutes of the meeting. </w:t>
      </w:r>
    </w:p>
    <w:p w14:paraId="2FFFF7B4" w14:textId="77777777"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 person who has a Conflict of Interest shall not participate in or be permitted to hear the board’s or committee’s discussion of the matter except to disclose material facts and to respond to questions. Such person shall not attempt to exert his or her personal influence with respect to the matter, either at or outside the meeting. </w:t>
      </w:r>
    </w:p>
    <w:p w14:paraId="09CE7FD9" w14:textId="37497305"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A person who has a Conflict of Interest with respect to an Agreement or Transaction that will be voted on at a meeting shall not be counted in determining the presence of a quorum for purposes of the vote. The person having a conflict of interest may not vote on the Agreement or Transaction and shall not be present in the meeting room when the vote is taken, unless the vote is by secret ballot. Such person’s ineligibility to vote shall be reflected in the minutes of the meeting. For purposes of this paragraph, a member of the board of directors of Canton Minor Hockey has a Conflict of Interest when he or she stands for election as an officer or for re-election as a member of the board of directors.</w:t>
      </w:r>
    </w:p>
    <w:p w14:paraId="520B57EF" w14:textId="52E5CB68"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Responsible Persons who are not members of the board of directors of </w:t>
      </w:r>
      <w:r w:rsidR="00A04092">
        <w:rPr>
          <w:rFonts w:ascii="Times New Roman" w:eastAsia="MS Mincho" w:hAnsi="Times New Roman" w:cs="Times New Roman"/>
          <w:color w:val="000000"/>
          <w:sz w:val="19"/>
          <w:szCs w:val="19"/>
          <w:lang w:eastAsia="ja-JP"/>
        </w:rPr>
        <w:t>Canton Minor Hockey</w:t>
      </w:r>
      <w:r>
        <w:rPr>
          <w:rFonts w:ascii="Times New Roman" w:eastAsia="MS Mincho" w:hAnsi="Times New Roman" w:cs="Times New Roman"/>
          <w:color w:val="000000"/>
          <w:sz w:val="19"/>
          <w:szCs w:val="19"/>
          <w:lang w:eastAsia="ja-JP"/>
        </w:rPr>
        <w:t xml:space="preserve">, or who have a Conflict of Interest with respect to an Agreement or Transaction that is not the subject of board or committee action, shall disclose to the Chair or the Chair’s designee any Conflict of Interest that such Responsible Person has with respect to an Agreement or Transaction. Such disclosure shall be made as soon as the Conflict of Interest is known to the Responsible Person. The Responsible Person shall refrain from any action that may affect </w:t>
      </w:r>
      <w:r w:rsidR="00A04092">
        <w:rPr>
          <w:rFonts w:ascii="Times New Roman" w:eastAsia="MS Mincho" w:hAnsi="Times New Roman" w:cs="Times New Roman"/>
          <w:color w:val="000000"/>
          <w:sz w:val="19"/>
          <w:szCs w:val="19"/>
          <w:lang w:eastAsia="ja-JP"/>
        </w:rPr>
        <w:t>Canton Minor Hockey</w:t>
      </w:r>
      <w:r>
        <w:rPr>
          <w:rFonts w:ascii="Times New Roman" w:eastAsia="MS Mincho" w:hAnsi="Times New Roman" w:cs="Times New Roman"/>
          <w:color w:val="000000"/>
          <w:sz w:val="19"/>
          <w:szCs w:val="19"/>
          <w:lang w:eastAsia="ja-JP"/>
        </w:rPr>
        <w:t xml:space="preserve">’s participation in such Agreement or Transaction. </w:t>
      </w:r>
    </w:p>
    <w:p w14:paraId="18395D32" w14:textId="77777777"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In the event it is not entirely clear that a Conflict of Interest exists, the individual with the potential conflict shall disclose the circumstances to the Chair or the Chair’s designee, who shall determine whether there exists a Conflict of Interest that is subject to this policy. </w:t>
      </w:r>
    </w:p>
    <w:p w14:paraId="3F3F116A" w14:textId="77777777" w:rsidR="001E660B" w:rsidRDefault="009139C8" w:rsidP="009139C8">
      <w:pPr>
        <w:pStyle w:val="ListParagraph"/>
        <w:numPr>
          <w:ilvl w:val="0"/>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Confidentiality. </w:t>
      </w:r>
    </w:p>
    <w:p w14:paraId="7940A2D5" w14:textId="77777777" w:rsidR="001E660B" w:rsidRDefault="009139C8" w:rsidP="001E660B">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Each Responsible Person shall exercise care not to disclose confidential information acquired in connection with such status or information the disclosure of which might be adverse to the interests of </w:t>
      </w:r>
      <w:r w:rsidR="00997468">
        <w:rPr>
          <w:rFonts w:ascii="Times New Roman" w:eastAsia="MS Mincho" w:hAnsi="Times New Roman" w:cs="Times New Roman"/>
          <w:color w:val="000000"/>
          <w:sz w:val="19"/>
          <w:szCs w:val="19"/>
          <w:lang w:eastAsia="ja-JP"/>
        </w:rPr>
        <w:t>Canton Minor Hockey</w:t>
      </w:r>
      <w:r>
        <w:rPr>
          <w:rFonts w:ascii="Times New Roman" w:eastAsia="MS Mincho" w:hAnsi="Times New Roman" w:cs="Times New Roman"/>
          <w:color w:val="000000"/>
          <w:sz w:val="19"/>
          <w:szCs w:val="19"/>
          <w:lang w:eastAsia="ja-JP"/>
        </w:rPr>
        <w:t xml:space="preserve">. </w:t>
      </w:r>
    </w:p>
    <w:p w14:paraId="6BB8F3D2" w14:textId="6B937AC6" w:rsidR="009139C8" w:rsidRDefault="001E660B" w:rsidP="001E660B">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A </w:t>
      </w:r>
      <w:r w:rsidR="009139C8">
        <w:rPr>
          <w:rFonts w:ascii="Times New Roman" w:eastAsia="MS Mincho" w:hAnsi="Times New Roman" w:cs="Times New Roman"/>
          <w:color w:val="000000"/>
          <w:sz w:val="19"/>
          <w:szCs w:val="19"/>
          <w:lang w:eastAsia="ja-JP"/>
        </w:rPr>
        <w:t xml:space="preserve">Responsible Person shall not disclose or use information relating to the business of Canton Minor Hockey for the personal profit or advantage of the Responsible Person or a Family Member or the Responsible Person’s company. </w:t>
      </w:r>
    </w:p>
    <w:p w14:paraId="316EA305" w14:textId="77777777" w:rsidR="009139C8" w:rsidRDefault="009139C8" w:rsidP="009139C8">
      <w:pPr>
        <w:pStyle w:val="ListParagraph"/>
        <w:numPr>
          <w:ilvl w:val="0"/>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Review of Policy. </w:t>
      </w:r>
    </w:p>
    <w:p w14:paraId="7C70C7A9" w14:textId="77777777"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Each new Responsible Person shall be required to review a copy of this Policy and to acknowledge in writing that he or she has done so.</w:t>
      </w:r>
    </w:p>
    <w:p w14:paraId="0DA89E3A" w14:textId="1AF2A104" w:rsidR="009139C8" w:rsidRDefault="009139C8" w:rsidP="009139C8">
      <w:pPr>
        <w:pStyle w:val="ListParagraph"/>
        <w:numPr>
          <w:ilvl w:val="1"/>
          <w:numId w:val="1"/>
        </w:numPr>
        <w:spacing w:after="200" w:line="240" w:lineRule="auto"/>
        <w:rPr>
          <w:rFonts w:ascii="Times New Roman" w:eastAsia="MS Mincho" w:hAnsi="Times New Roman" w:cs="Times New Roman"/>
          <w:color w:val="000000"/>
          <w:sz w:val="19"/>
          <w:szCs w:val="19"/>
          <w:lang w:eastAsia="ja-JP"/>
        </w:rPr>
      </w:pPr>
      <w:r>
        <w:rPr>
          <w:rFonts w:ascii="Times New Roman" w:eastAsia="MS Mincho" w:hAnsi="Times New Roman" w:cs="Times New Roman"/>
          <w:color w:val="000000"/>
          <w:sz w:val="19"/>
          <w:szCs w:val="19"/>
          <w:lang w:eastAsia="ja-JP"/>
        </w:rPr>
        <w:t xml:space="preserve">Each Responsible Person shall annually complete a disclosure form identifying any relationships, positions, or circumstances in which the Responsible Person is involved that he or she believes could contribute to a Conflict of Interest arising. Such relationships, positions, or circumstances might include service as a director of or consultant to a not-for-profit organization, or ownership of a business that might provide goods or services to </w:t>
      </w:r>
      <w:r w:rsidR="001E660B">
        <w:rPr>
          <w:rFonts w:ascii="Times New Roman" w:eastAsia="MS Mincho" w:hAnsi="Times New Roman" w:cs="Times New Roman"/>
          <w:color w:val="000000"/>
          <w:sz w:val="19"/>
          <w:szCs w:val="19"/>
          <w:lang w:eastAsia="ja-JP"/>
        </w:rPr>
        <w:t xml:space="preserve">Canton Minor Hockey.  </w:t>
      </w:r>
      <w:r>
        <w:rPr>
          <w:rFonts w:ascii="Times New Roman" w:eastAsia="MS Mincho" w:hAnsi="Times New Roman" w:cs="Times New Roman"/>
          <w:color w:val="000000"/>
          <w:sz w:val="19"/>
          <w:szCs w:val="19"/>
          <w:lang w:eastAsia="ja-JP"/>
        </w:rPr>
        <w:t xml:space="preserve">Each Responsible Person should also disclose to the board of directors any potential Conflict of Interest that may arise during the course of the year between the submission of annual disclosure forms. Any such information regarding business interests of a Responsible Person or a Family Member shall be treated as confidential and shall generally be made available only to the Chair, the Executive Director, and any committee appointed to address Conflicts of Interest, except to the extent additional disclosure is necessary in connection with the implementation of this Policy. </w:t>
      </w:r>
    </w:p>
    <w:p w14:paraId="4E146685" w14:textId="57273A36" w:rsidR="005743E0" w:rsidRDefault="009139C8" w:rsidP="005401A0">
      <w:pPr>
        <w:pStyle w:val="ListParagraph"/>
        <w:numPr>
          <w:ilvl w:val="1"/>
          <w:numId w:val="1"/>
        </w:numPr>
        <w:spacing w:after="200" w:line="240" w:lineRule="auto"/>
      </w:pPr>
      <w:r w:rsidRPr="001E660B">
        <w:rPr>
          <w:rFonts w:ascii="Times New Roman" w:eastAsia="MS Mincho" w:hAnsi="Times New Roman" w:cs="Times New Roman"/>
          <w:color w:val="000000"/>
          <w:sz w:val="19"/>
          <w:szCs w:val="19"/>
          <w:lang w:eastAsia="ja-JP"/>
        </w:rPr>
        <w:t xml:space="preserve">This policy shall be reviewed annually by each member of the board of directors. Any changes to the policy shall be communicated immediately to all Responsible Persons. </w:t>
      </w:r>
    </w:p>
    <w:sectPr w:rsidR="005743E0" w:rsidSect="001E660B">
      <w:headerReference w:type="even" r:id="rId8"/>
      <w:headerReference w:type="default" r:id="rId9"/>
      <w:footerReference w:type="even" r:id="rId10"/>
      <w:footerReference w:type="default" r:id="rId11"/>
      <w:headerReference w:type="first" r:id="rId12"/>
      <w:footerReference w:type="first" r:id="rId13"/>
      <w:pgSz w:w="12240" w:h="15840"/>
      <w:pgMar w:top="300" w:right="1440" w:bottom="1440" w:left="1440" w:header="27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8139E" w14:textId="77777777" w:rsidR="000755F8" w:rsidRDefault="000755F8" w:rsidP="009139C8">
      <w:pPr>
        <w:spacing w:after="0" w:line="240" w:lineRule="auto"/>
      </w:pPr>
      <w:r>
        <w:separator/>
      </w:r>
    </w:p>
  </w:endnote>
  <w:endnote w:type="continuationSeparator" w:id="0">
    <w:p w14:paraId="6BE1303A" w14:textId="77777777" w:rsidR="000755F8" w:rsidRDefault="000755F8" w:rsidP="0091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venirLTCom-Heavy">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5B375" w14:textId="77777777" w:rsidR="006932B4" w:rsidRDefault="006932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BF2BD" w14:textId="77777777" w:rsidR="006932B4" w:rsidRDefault="006932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A151F" w14:textId="77777777" w:rsidR="006932B4" w:rsidRDefault="00693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404C4" w14:textId="77777777" w:rsidR="000755F8" w:rsidRDefault="000755F8" w:rsidP="009139C8">
      <w:pPr>
        <w:spacing w:after="0" w:line="240" w:lineRule="auto"/>
      </w:pPr>
      <w:r>
        <w:separator/>
      </w:r>
    </w:p>
  </w:footnote>
  <w:footnote w:type="continuationSeparator" w:id="0">
    <w:p w14:paraId="0A08273B" w14:textId="77777777" w:rsidR="000755F8" w:rsidRDefault="000755F8" w:rsidP="00913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FDF95" w14:textId="77777777" w:rsidR="006932B4" w:rsidRDefault="006932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0BBAF" w14:textId="57DE81E1" w:rsidR="009139C8" w:rsidRPr="001E660B" w:rsidRDefault="001E660B" w:rsidP="009139C8">
    <w:pPr>
      <w:widowControl w:val="0"/>
      <w:autoSpaceDE w:val="0"/>
      <w:autoSpaceDN w:val="0"/>
      <w:adjustRightInd w:val="0"/>
      <w:spacing w:before="480" w:after="480" w:line="640" w:lineRule="atLeast"/>
      <w:ind w:left="-540"/>
      <w:jc w:val="right"/>
      <w:textAlignment w:val="center"/>
      <w:rPr>
        <w:rFonts w:ascii="AvenirLTCom-Heavy" w:eastAsia="MS Mincho" w:hAnsi="AvenirLTCom-Heavy" w:cs="AvenirLTCom-Heavy"/>
        <w:color w:val="595959"/>
        <w:sz w:val="24"/>
        <w:szCs w:val="24"/>
        <w:lang w:eastAsia="ja-JP"/>
      </w:rPr>
    </w:pPr>
    <w:r>
      <w:rPr>
        <w:rFonts w:ascii="AvenirLTCom-Heavy" w:eastAsia="MS Mincho" w:hAnsi="AvenirLTCom-Heavy" w:cs="AvenirLTCom-Heavy"/>
        <w:noProof/>
        <w:color w:val="595959"/>
        <w:sz w:val="48"/>
        <w:szCs w:val="48"/>
      </w:rPr>
      <mc:AlternateContent>
        <mc:Choice Requires="wps">
          <w:drawing>
            <wp:anchor distT="0" distB="0" distL="114300" distR="114300" simplePos="0" relativeHeight="251659264" behindDoc="0" locked="0" layoutInCell="1" allowOverlap="1" wp14:anchorId="0E298403" wp14:editId="577CBE44">
              <wp:simplePos x="0" y="0"/>
              <wp:positionH relativeFrom="column">
                <wp:posOffset>76200</wp:posOffset>
              </wp:positionH>
              <wp:positionV relativeFrom="paragraph">
                <wp:posOffset>752475</wp:posOffset>
              </wp:positionV>
              <wp:extent cx="5829300" cy="0"/>
              <wp:effectExtent l="0" t="0" r="0" b="0"/>
              <wp:wrapNone/>
              <wp:docPr id="18" name="Straight Connector 18"/>
              <wp:cNvGraphicFramePr/>
              <a:graphic xmlns:a="http://schemas.openxmlformats.org/drawingml/2006/main">
                <a:graphicData uri="http://schemas.microsoft.com/office/word/2010/wordprocessingShape">
                  <wps:wsp>
                    <wps:cNvCnPr/>
                    <wps:spPr>
                      <a:xfrm flipH="1">
                        <a:off x="0" y="0"/>
                        <a:ext cx="58293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58672D3C" id="Straight Connector 18"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6pt,59.25pt" to="46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" strokecolor="#a5a5a5 [3206]" strokeweight=".5pt">
              <v:stroke joinstyle="miter"/>
            </v:line>
          </w:pict>
        </mc:Fallback>
      </mc:AlternateContent>
    </w:r>
    <w:r w:rsidR="009139C8" w:rsidRPr="009139C8">
      <w:rPr>
        <w:rFonts w:ascii="AvenirLTCom-Heavy" w:eastAsia="MS Mincho" w:hAnsi="AvenirLTCom-Heavy" w:cs="AvenirLTCom-Heavy"/>
        <w:color w:val="595959"/>
        <w:sz w:val="48"/>
        <w:szCs w:val="48"/>
        <w:lang w:eastAsia="ja-JP"/>
      </w:rPr>
      <w:t xml:space="preserve"> </w:t>
    </w:r>
    <w:r w:rsidR="009139C8">
      <w:rPr>
        <w:rFonts w:ascii="AvenirLTCom-Heavy" w:eastAsia="MS Mincho" w:hAnsi="AvenirLTCom-Heavy" w:cs="AvenirLTCom-Heavy"/>
        <w:color w:val="595959"/>
        <w:sz w:val="48"/>
        <w:szCs w:val="48"/>
        <w:lang w:eastAsia="ja-JP"/>
      </w:rPr>
      <w:t xml:space="preserve">                                 </w:t>
    </w:r>
    <w:r w:rsidR="009139C8" w:rsidRPr="001E660B">
      <w:rPr>
        <w:rFonts w:ascii="AvenirLTCom-Heavy" w:eastAsia="MS Mincho" w:hAnsi="AvenirLTCom-Heavy" w:cs="AvenirLTCom-Heavy"/>
        <w:color w:val="595959"/>
        <w:sz w:val="24"/>
        <w:szCs w:val="24"/>
        <w:lang w:eastAsia="ja-JP"/>
      </w:rPr>
      <w:t>Conflict of Interest Policy</w:t>
    </w:r>
  </w:p>
  <w:p w14:paraId="6D37AED4" w14:textId="19A52C22" w:rsidR="009139C8" w:rsidRDefault="009139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93A15" w14:textId="14BE8783" w:rsidR="006932B4" w:rsidRPr="001E660B" w:rsidRDefault="001E660B" w:rsidP="006932B4">
    <w:pPr>
      <w:widowControl w:val="0"/>
      <w:autoSpaceDE w:val="0"/>
      <w:autoSpaceDN w:val="0"/>
      <w:adjustRightInd w:val="0"/>
      <w:spacing w:before="480" w:after="480" w:line="0" w:lineRule="atLeast"/>
      <w:ind w:left="-547"/>
      <w:jc w:val="right"/>
      <w:textAlignment w:val="center"/>
      <w:rPr>
        <w:rFonts w:ascii="AvenirLTCom-Heavy" w:eastAsia="MS Mincho" w:hAnsi="AvenirLTCom-Heavy" w:cs="AvenirLTCom-Heavy"/>
        <w:color w:val="595959"/>
        <w:sz w:val="48"/>
        <w:szCs w:val="48"/>
        <w:lang w:eastAsia="ja-JP"/>
      </w:rPr>
    </w:pPr>
    <w:r>
      <w:rPr>
        <w:noProof/>
      </w:rPr>
      <w:drawing>
        <wp:inline distT="0" distB="0" distL="0" distR="0" wp14:anchorId="482A4200" wp14:editId="1832CEAC">
          <wp:extent cx="781050" cy="781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tonBearsPrim.png"/>
                  <pic:cNvPicPr/>
                </pic:nvPicPr>
                <pic:blipFill>
                  <a:blip r:embed="rId1">
                    <a:extLst>
                      <a:ext uri="{28A0092B-C50C-407E-A947-70E740481C1C}">
                        <a14:useLocalDpi xmlns:a14="http://schemas.microsoft.com/office/drawing/2010/main" val="0"/>
                      </a:ext>
                    </a:extLst>
                  </a:blip>
                  <a:stretch>
                    <a:fillRect/>
                  </a:stretch>
                </pic:blipFill>
                <pic:spPr>
                  <a:xfrm>
                    <a:off x="0" y="0"/>
                    <a:ext cx="781136" cy="781136"/>
                  </a:xfrm>
                  <a:prstGeom prst="rect">
                    <a:avLst/>
                  </a:prstGeom>
                </pic:spPr>
              </pic:pic>
            </a:graphicData>
          </a:graphic>
        </wp:inline>
      </w:drawing>
    </w:r>
    <w:r w:rsidRPr="009139C8">
      <w:rPr>
        <w:rFonts w:ascii="AvenirLTCom-Heavy" w:eastAsia="MS Mincho" w:hAnsi="AvenirLTCom-Heavy" w:cs="AvenirLTCom-Heavy"/>
        <w:color w:val="595959"/>
        <w:sz w:val="48"/>
        <w:szCs w:val="48"/>
        <w:lang w:eastAsia="ja-JP"/>
      </w:rPr>
      <w:t xml:space="preserve"> </w:t>
    </w:r>
    <w:r>
      <w:rPr>
        <w:rFonts w:ascii="AvenirLTCom-Heavy" w:eastAsia="MS Mincho" w:hAnsi="AvenirLTCom-Heavy" w:cs="AvenirLTCom-Heavy"/>
        <w:color w:val="595959"/>
        <w:sz w:val="48"/>
        <w:szCs w:val="48"/>
        <w:lang w:eastAsia="ja-JP"/>
      </w:rPr>
      <w:t xml:space="preserve">                            </w:t>
    </w:r>
    <w:r w:rsidR="006932B4">
      <w:rPr>
        <w:rFonts w:ascii="AvenirLTCom-Heavy" w:eastAsia="MS Mincho" w:hAnsi="AvenirLTCom-Heavy" w:cs="AvenirLTCom-Heavy"/>
        <w:color w:val="595959"/>
        <w:sz w:val="48"/>
        <w:szCs w:val="48"/>
        <w:lang w:eastAsia="ja-JP"/>
      </w:rPr>
      <w:t xml:space="preserve">     Conflict of Interest Policy </w:t>
    </w:r>
    <w:r w:rsidR="006932B4" w:rsidRPr="006932B4">
      <w:rPr>
        <w:rFonts w:ascii="AvenirLTCom-Heavy" w:eastAsia="MS Mincho" w:hAnsi="AvenirLTCom-Heavy" w:cs="AvenirLTCom-Heavy"/>
        <w:color w:val="595959"/>
        <w:sz w:val="20"/>
        <w:szCs w:val="48"/>
        <w:lang w:eastAsia="ja-JP"/>
      </w:rPr>
      <w:t>Date:</w:t>
    </w:r>
    <w:r w:rsidR="006932B4">
      <w:rPr>
        <w:rFonts w:ascii="AvenirLTCom-Heavy" w:eastAsia="MS Mincho" w:hAnsi="AvenirLTCom-Heavy" w:cs="AvenirLTCom-Heavy"/>
        <w:color w:val="595959"/>
        <w:sz w:val="20"/>
        <w:szCs w:val="48"/>
        <w:lang w:eastAsia="ja-JP"/>
      </w:rPr>
      <w:t xml:space="preserve"> </w:t>
    </w:r>
    <w:r w:rsidR="006932B4" w:rsidRPr="006932B4">
      <w:rPr>
        <w:rFonts w:ascii="AvenirLTCom-Heavy" w:eastAsia="MS Mincho" w:hAnsi="AvenirLTCom-Heavy" w:cs="AvenirLTCom-Heavy"/>
        <w:color w:val="595959"/>
        <w:sz w:val="20"/>
        <w:szCs w:val="48"/>
        <w:lang w:eastAsia="ja-JP"/>
      </w:rPr>
      <w:t>12/15/18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D3B66"/>
    <w:multiLevelType w:val="hybridMultilevel"/>
    <w:tmpl w:val="E834C700"/>
    <w:lvl w:ilvl="0" w:tplc="0409000F">
      <w:start w:val="1"/>
      <w:numFmt w:val="decimal"/>
      <w:lvlText w:val="%1."/>
      <w:lvlJc w:val="left"/>
      <w:pPr>
        <w:ind w:left="18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C8"/>
    <w:rsid w:val="00054FEA"/>
    <w:rsid w:val="000755F8"/>
    <w:rsid w:val="001E660B"/>
    <w:rsid w:val="004A7595"/>
    <w:rsid w:val="006932B4"/>
    <w:rsid w:val="008F61DE"/>
    <w:rsid w:val="009139C8"/>
    <w:rsid w:val="00927661"/>
    <w:rsid w:val="00997468"/>
    <w:rsid w:val="00A04092"/>
    <w:rsid w:val="00FF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21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9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9C8"/>
    <w:pPr>
      <w:ind w:left="720"/>
      <w:contextualSpacing/>
    </w:pPr>
  </w:style>
  <w:style w:type="paragraph" w:styleId="Header">
    <w:name w:val="header"/>
    <w:basedOn w:val="Normal"/>
    <w:link w:val="HeaderChar"/>
    <w:uiPriority w:val="99"/>
    <w:unhideWhenUsed/>
    <w:rsid w:val="00913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C8"/>
  </w:style>
  <w:style w:type="paragraph" w:styleId="Footer">
    <w:name w:val="footer"/>
    <w:basedOn w:val="Normal"/>
    <w:link w:val="FooterChar"/>
    <w:uiPriority w:val="99"/>
    <w:unhideWhenUsed/>
    <w:rsid w:val="00913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C8"/>
  </w:style>
  <w:style w:type="paragraph" w:styleId="BalloonText">
    <w:name w:val="Balloon Text"/>
    <w:basedOn w:val="Normal"/>
    <w:link w:val="BalloonTextChar"/>
    <w:uiPriority w:val="99"/>
    <w:semiHidden/>
    <w:unhideWhenUsed/>
    <w:rsid w:val="004A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9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9C8"/>
    <w:pPr>
      <w:ind w:left="720"/>
      <w:contextualSpacing/>
    </w:pPr>
  </w:style>
  <w:style w:type="paragraph" w:styleId="Header">
    <w:name w:val="header"/>
    <w:basedOn w:val="Normal"/>
    <w:link w:val="HeaderChar"/>
    <w:uiPriority w:val="99"/>
    <w:unhideWhenUsed/>
    <w:rsid w:val="00913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C8"/>
  </w:style>
  <w:style w:type="paragraph" w:styleId="Footer">
    <w:name w:val="footer"/>
    <w:basedOn w:val="Normal"/>
    <w:link w:val="FooterChar"/>
    <w:uiPriority w:val="99"/>
    <w:unhideWhenUsed/>
    <w:rsid w:val="00913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C8"/>
  </w:style>
  <w:style w:type="paragraph" w:styleId="BalloonText">
    <w:name w:val="Balloon Text"/>
    <w:basedOn w:val="Normal"/>
    <w:link w:val="BalloonTextChar"/>
    <w:uiPriority w:val="99"/>
    <w:semiHidden/>
    <w:unhideWhenUsed/>
    <w:rsid w:val="004A7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7081</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Coakley EP</dc:creator>
  <cp:keywords>Non-Corning</cp:keywords>
  <dc:description/>
  <cp:lastModifiedBy>Corning_DCR</cp:lastModifiedBy>
  <cp:revision>3</cp:revision>
  <dcterms:created xsi:type="dcterms:W3CDTF">2018-12-29T16:47:00Z</dcterms:created>
  <dcterms:modified xsi:type="dcterms:W3CDTF">2020-03-06T18:09:00Z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98416a53-6850-4907-9f41-158778c213dd</vt:lpwstr>
  </property>
  <property fmtid="{D5CDD505-2E9C-101B-9397-08002B2CF9AE}" pid="3" name="CorningConfigurationVersion">
    <vt:lpwstr>3.0.11.5.6.1ENM</vt:lpwstr>
  </property>
  <property fmtid="{D5CDD505-2E9C-101B-9397-08002B2CF9AE}" pid="4" name="CorningFullClassification">
    <vt:lpwstr>Non-Corning</vt:lpwstr>
  </property>
  <property fmtid="{D5CDD505-2E9C-101B-9397-08002B2CF9AE}" pid="5" name="CCTCode">
    <vt:lpwstr>NC</vt:lpwstr>
  </property>
  <property fmtid="{D5CDD505-2E9C-101B-9397-08002B2CF9AE}" pid="6" name="CRCCode">
    <vt:lpwstr/>
  </property>
  <property fmtid="{D5CDD505-2E9C-101B-9397-08002B2CF9AE}" pid="7" name="CORNINGClassification">
    <vt:lpwstr>Non-Corning</vt:lpwstr>
  </property>
  <property fmtid="{D5CDD505-2E9C-101B-9397-08002B2CF9AE}" pid="8" name="CORNINGLabelExtension">
    <vt:lpwstr>None</vt:lpwstr>
  </property>
  <property fmtid="{D5CDD505-2E9C-101B-9397-08002B2CF9AE}" pid="9" name="CORNINGDisplayOptionalMarkingLanguage">
    <vt:lpwstr>None</vt:lpwstr>
  </property>
  <property fmtid="{D5CDD505-2E9C-101B-9397-08002B2CF9AE}" pid="10" name="CORNINGMarkingOption">
    <vt:lpwstr>Automatic</vt:lpwstr>
  </property>
</Properties>
</file>